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DC" w:rsidRDefault="00494A78">
      <w:pPr>
        <w:pStyle w:val="Ttulo"/>
      </w:pPr>
      <w:r>
        <w:rPr>
          <w:color w:val="FF0000"/>
        </w:rPr>
        <w:t>PROYECTO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LEY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FAMILIAS</w:t>
      </w:r>
    </w:p>
    <w:p w:rsidR="00BE3BDC" w:rsidRDefault="00494A78">
      <w:pPr>
        <w:spacing w:before="238" w:line="360" w:lineRule="auto"/>
        <w:ind w:left="102" w:right="117"/>
        <w:jc w:val="both"/>
        <w:rPr>
          <w:sz w:val="24"/>
        </w:rPr>
      </w:pP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Consejo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Ministros</w:t>
      </w:r>
      <w:r>
        <w:rPr>
          <w:spacing w:val="-12"/>
          <w:sz w:val="24"/>
        </w:rPr>
        <w:t xml:space="preserve"> </w:t>
      </w:r>
      <w:r>
        <w:rPr>
          <w:sz w:val="24"/>
        </w:rPr>
        <w:t>ha</w:t>
      </w:r>
      <w:r>
        <w:rPr>
          <w:spacing w:val="-12"/>
          <w:sz w:val="24"/>
        </w:rPr>
        <w:t xml:space="preserve"> </w:t>
      </w:r>
      <w:r>
        <w:rPr>
          <w:sz w:val="24"/>
        </w:rPr>
        <w:t>aprobado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pasado</w:t>
      </w:r>
      <w:r>
        <w:rPr>
          <w:spacing w:val="-12"/>
          <w:sz w:val="24"/>
        </w:rPr>
        <w:t xml:space="preserve"> </w:t>
      </w:r>
      <w:r>
        <w:rPr>
          <w:sz w:val="24"/>
        </w:rPr>
        <w:t>27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febrero,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proyecto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Ley de Familias, con tres objetivos básicos:</w:t>
      </w:r>
    </w:p>
    <w:p w:rsidR="00BE3BDC" w:rsidRDefault="00BE3BDC">
      <w:pPr>
        <w:pStyle w:val="Textoindependiente"/>
        <w:spacing w:before="180"/>
        <w:rPr>
          <w:sz w:val="24"/>
        </w:rPr>
      </w:pPr>
    </w:p>
    <w:p w:rsidR="00BE3BDC" w:rsidRDefault="00494A78">
      <w:pPr>
        <w:pStyle w:val="Prrafodelista"/>
        <w:numPr>
          <w:ilvl w:val="0"/>
          <w:numId w:val="2"/>
        </w:numPr>
        <w:tabs>
          <w:tab w:val="left" w:pos="1542"/>
        </w:tabs>
        <w:spacing w:line="321" w:lineRule="auto"/>
        <w:ind w:right="125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  <w:t>Reconocer</w:t>
      </w:r>
      <w:r>
        <w:rPr>
          <w:rFonts w:ascii="Arial" w:hAnsi="Arial"/>
          <w:b/>
          <w:spacing w:val="-13"/>
          <w:sz w:val="25"/>
        </w:rPr>
        <w:t xml:space="preserve"> </w:t>
      </w:r>
      <w:r>
        <w:rPr>
          <w:rFonts w:ascii="Arial" w:hAnsi="Arial"/>
          <w:b/>
          <w:sz w:val="25"/>
        </w:rPr>
        <w:t>las</w:t>
      </w:r>
      <w:r>
        <w:rPr>
          <w:rFonts w:ascii="Arial" w:hAnsi="Arial"/>
          <w:b/>
          <w:spacing w:val="-13"/>
          <w:sz w:val="25"/>
        </w:rPr>
        <w:t xml:space="preserve"> </w:t>
      </w:r>
      <w:r>
        <w:rPr>
          <w:rFonts w:ascii="Arial" w:hAnsi="Arial"/>
          <w:b/>
          <w:sz w:val="25"/>
        </w:rPr>
        <w:t>diferentes</w:t>
      </w:r>
      <w:r>
        <w:rPr>
          <w:rFonts w:ascii="Arial" w:hAnsi="Arial"/>
          <w:b/>
          <w:spacing w:val="-13"/>
          <w:sz w:val="25"/>
        </w:rPr>
        <w:t xml:space="preserve"> </w:t>
      </w:r>
      <w:r>
        <w:rPr>
          <w:rFonts w:ascii="Arial" w:hAnsi="Arial"/>
          <w:b/>
          <w:sz w:val="25"/>
        </w:rPr>
        <w:t>situaciones</w:t>
      </w:r>
      <w:r>
        <w:rPr>
          <w:rFonts w:ascii="Arial" w:hAnsi="Arial"/>
          <w:b/>
          <w:spacing w:val="-13"/>
          <w:sz w:val="25"/>
        </w:rPr>
        <w:t xml:space="preserve"> </w:t>
      </w:r>
      <w:r>
        <w:rPr>
          <w:rFonts w:ascii="Arial" w:hAnsi="Arial"/>
          <w:b/>
          <w:sz w:val="25"/>
        </w:rPr>
        <w:t>familiares</w:t>
      </w:r>
      <w:r>
        <w:rPr>
          <w:rFonts w:ascii="Arial" w:hAnsi="Arial"/>
          <w:b/>
          <w:spacing w:val="-13"/>
          <w:sz w:val="25"/>
        </w:rPr>
        <w:t xml:space="preserve"> </w:t>
      </w:r>
      <w:r>
        <w:rPr>
          <w:rFonts w:ascii="Arial" w:hAnsi="Arial"/>
          <w:b/>
          <w:sz w:val="25"/>
        </w:rPr>
        <w:t>que</w:t>
      </w:r>
      <w:r>
        <w:rPr>
          <w:rFonts w:ascii="Arial" w:hAnsi="Arial"/>
          <w:b/>
          <w:spacing w:val="-13"/>
          <w:sz w:val="25"/>
        </w:rPr>
        <w:t xml:space="preserve"> </w:t>
      </w:r>
      <w:r>
        <w:rPr>
          <w:rFonts w:ascii="Arial" w:hAnsi="Arial"/>
          <w:b/>
          <w:sz w:val="25"/>
        </w:rPr>
        <w:t>existen en España.</w:t>
      </w:r>
    </w:p>
    <w:p w:rsidR="00BE3BDC" w:rsidRDefault="00494A78">
      <w:pPr>
        <w:pStyle w:val="Prrafodelista"/>
        <w:numPr>
          <w:ilvl w:val="0"/>
          <w:numId w:val="2"/>
        </w:numPr>
        <w:tabs>
          <w:tab w:val="left" w:pos="1541"/>
        </w:tabs>
        <w:spacing w:before="238"/>
        <w:ind w:left="1541" w:right="0"/>
        <w:jc w:val="left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  <w:t>Mejorar</w:t>
      </w:r>
      <w:r>
        <w:rPr>
          <w:rFonts w:ascii="Arial" w:hAnsi="Arial"/>
          <w:b/>
          <w:spacing w:val="-9"/>
          <w:sz w:val="25"/>
        </w:rPr>
        <w:t xml:space="preserve"> </w:t>
      </w:r>
      <w:r>
        <w:rPr>
          <w:rFonts w:ascii="Arial" w:hAnsi="Arial"/>
          <w:b/>
          <w:sz w:val="25"/>
        </w:rPr>
        <w:t>la</w:t>
      </w:r>
      <w:r>
        <w:rPr>
          <w:rFonts w:ascii="Arial" w:hAnsi="Arial"/>
          <w:b/>
          <w:spacing w:val="-8"/>
          <w:sz w:val="25"/>
        </w:rPr>
        <w:t xml:space="preserve"> </w:t>
      </w:r>
      <w:r>
        <w:rPr>
          <w:rFonts w:ascii="Arial" w:hAnsi="Arial"/>
          <w:b/>
          <w:sz w:val="25"/>
        </w:rPr>
        <w:t>protección</w:t>
      </w:r>
      <w:r>
        <w:rPr>
          <w:rFonts w:ascii="Arial" w:hAnsi="Arial"/>
          <w:b/>
          <w:spacing w:val="-8"/>
          <w:sz w:val="25"/>
        </w:rPr>
        <w:t xml:space="preserve"> </w:t>
      </w:r>
      <w:r>
        <w:rPr>
          <w:rFonts w:ascii="Arial" w:hAnsi="Arial"/>
          <w:b/>
          <w:sz w:val="25"/>
        </w:rPr>
        <w:t>social</w:t>
      </w:r>
      <w:r>
        <w:rPr>
          <w:rFonts w:ascii="Arial" w:hAnsi="Arial"/>
          <w:b/>
          <w:spacing w:val="-11"/>
          <w:sz w:val="25"/>
        </w:rPr>
        <w:t xml:space="preserve"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-4"/>
          <w:sz w:val="25"/>
        </w:rPr>
        <w:t xml:space="preserve"> </w:t>
      </w:r>
      <w:r>
        <w:rPr>
          <w:rFonts w:ascii="Arial" w:hAnsi="Arial"/>
          <w:b/>
          <w:sz w:val="25"/>
        </w:rPr>
        <w:t>las</w:t>
      </w:r>
      <w:r>
        <w:rPr>
          <w:rFonts w:ascii="Arial" w:hAnsi="Arial"/>
          <w:b/>
          <w:spacing w:val="-8"/>
          <w:sz w:val="25"/>
        </w:rPr>
        <w:t xml:space="preserve"> </w:t>
      </w:r>
      <w:r>
        <w:rPr>
          <w:rFonts w:ascii="Arial" w:hAnsi="Arial"/>
          <w:b/>
          <w:spacing w:val="-2"/>
          <w:sz w:val="25"/>
        </w:rPr>
        <w:t>familias.</w:t>
      </w:r>
    </w:p>
    <w:p w:rsidR="00BE3BDC" w:rsidRDefault="00BE3BDC">
      <w:pPr>
        <w:pStyle w:val="Textoindependiente"/>
        <w:spacing w:before="49"/>
        <w:rPr>
          <w:rFonts w:ascii="Arial"/>
          <w:b/>
        </w:rPr>
      </w:pPr>
    </w:p>
    <w:p w:rsidR="00BE3BDC" w:rsidRDefault="00494A78">
      <w:pPr>
        <w:pStyle w:val="Prrafodelista"/>
        <w:numPr>
          <w:ilvl w:val="0"/>
          <w:numId w:val="2"/>
        </w:numPr>
        <w:tabs>
          <w:tab w:val="left" w:pos="1542"/>
        </w:tabs>
        <w:spacing w:line="321" w:lineRule="auto"/>
        <w:ind w:right="123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  <w:t xml:space="preserve">Garantizar el derecho a conciliar la vida familiar con la </w:t>
      </w:r>
      <w:r>
        <w:rPr>
          <w:rFonts w:ascii="Arial" w:hAnsi="Arial"/>
          <w:b/>
          <w:spacing w:val="-2"/>
          <w:sz w:val="25"/>
        </w:rPr>
        <w:t>laboral.</w:t>
      </w:r>
    </w:p>
    <w:p w:rsidR="00BE3BDC" w:rsidRDefault="00494A78">
      <w:pPr>
        <w:spacing w:before="178" w:line="360" w:lineRule="auto"/>
        <w:ind w:left="102" w:right="120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 va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establecer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marco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diferentes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-2"/>
          <w:sz w:val="24"/>
        </w:rPr>
        <w:t xml:space="preserve"> </w:t>
      </w:r>
      <w:r>
        <w:rPr>
          <w:sz w:val="24"/>
        </w:rPr>
        <w:t>de nuestro país puedan implementar políticas de apoyo a las familias y, asimismo, ofrecer un soport</w:t>
      </w:r>
      <w:r>
        <w:rPr>
          <w:sz w:val="24"/>
        </w:rPr>
        <w:t>e para ampliar derechos, tanto por la vía de enmiendas parlamentarias, como en la negociación de los Presupuestos Generales del Estado,</w:t>
      </w:r>
      <w:r>
        <w:rPr>
          <w:spacing w:val="-8"/>
          <w:sz w:val="24"/>
        </w:rPr>
        <w:t xml:space="preserve"> </w:t>
      </w:r>
      <w:r>
        <w:rPr>
          <w:sz w:val="24"/>
        </w:rPr>
        <w:t>dadas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-8"/>
          <w:sz w:val="24"/>
        </w:rPr>
        <w:t xml:space="preserve"> </w:t>
      </w:r>
      <w:r>
        <w:rPr>
          <w:sz w:val="24"/>
        </w:rPr>
        <w:t>actuales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España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formar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familia,</w:t>
      </w:r>
      <w:r>
        <w:rPr>
          <w:spacing w:val="-8"/>
          <w:sz w:val="24"/>
        </w:rPr>
        <w:t xml:space="preserve"> </w:t>
      </w:r>
      <w:r>
        <w:rPr>
          <w:sz w:val="24"/>
        </w:rPr>
        <w:t>tanto en términos económicos, como de conciliación.</w:t>
      </w:r>
    </w:p>
    <w:p w:rsidR="00BE3BDC" w:rsidRDefault="00BE3BDC">
      <w:pPr>
        <w:pStyle w:val="Textoindependiente"/>
        <w:spacing w:before="139"/>
        <w:rPr>
          <w:sz w:val="24"/>
        </w:rPr>
      </w:pPr>
    </w:p>
    <w:p w:rsidR="00BE3BDC" w:rsidRDefault="00494A78">
      <w:pPr>
        <w:spacing w:line="360" w:lineRule="auto"/>
        <w:ind w:left="102" w:right="121"/>
        <w:jc w:val="both"/>
        <w:rPr>
          <w:sz w:val="24"/>
        </w:rPr>
      </w:pPr>
      <w:r>
        <w:rPr>
          <w:sz w:val="24"/>
        </w:rPr>
        <w:t>La infrafinanciación de las políticas de protección social a las familias tras los recortes llevados a cabo la pasada década supone una mayor carga de trabajo no remunerado sobre las mujeres, por lo que otro objetivo importante de la ley es ayudar a reduci</w:t>
      </w:r>
      <w:r>
        <w:rPr>
          <w:sz w:val="24"/>
        </w:rPr>
        <w:t>r esta brecha de género, cuyas consecuencias tienen cada vez un mayor impacto en nuestra sociedad: España es el país de la Unión Europea con mayor número de mujeres que se ven obligadas a postergar la decisión de tener hijos hasta pasados los 40 años.</w:t>
      </w:r>
    </w:p>
    <w:p w:rsidR="00BE3BDC" w:rsidRDefault="00BE3BDC">
      <w:pPr>
        <w:pStyle w:val="Textoindependiente"/>
        <w:rPr>
          <w:sz w:val="24"/>
        </w:rPr>
      </w:pPr>
    </w:p>
    <w:p w:rsidR="00BE3BDC" w:rsidRDefault="00494A78">
      <w:pPr>
        <w:ind w:left="102"/>
        <w:jc w:val="both"/>
        <w:rPr>
          <w:sz w:val="24"/>
        </w:rPr>
      </w:pPr>
      <w:r>
        <w:rPr>
          <w:sz w:val="24"/>
        </w:rPr>
        <w:t>Medidas</w:t>
      </w:r>
      <w:r>
        <w:rPr>
          <w:spacing w:val="-11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incluyen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11"/>
          <w:sz w:val="24"/>
        </w:rPr>
        <w:t xml:space="preserve"> </w:t>
      </w:r>
      <w:r>
        <w:rPr>
          <w:sz w:val="24"/>
        </w:rPr>
        <w:t>proyecto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ley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son:</w:t>
      </w:r>
    </w:p>
    <w:p w:rsidR="00BE3BDC" w:rsidRDefault="00BE3BDC">
      <w:pPr>
        <w:pStyle w:val="Textoindependiente"/>
        <w:spacing w:before="180"/>
        <w:rPr>
          <w:sz w:val="24"/>
        </w:rPr>
      </w:pPr>
    </w:p>
    <w:p w:rsidR="00BE3BDC" w:rsidRDefault="00494A78">
      <w:pPr>
        <w:pStyle w:val="Prrafodelista"/>
        <w:numPr>
          <w:ilvl w:val="0"/>
          <w:numId w:val="2"/>
        </w:numPr>
        <w:tabs>
          <w:tab w:val="left" w:pos="1542"/>
        </w:tabs>
        <w:spacing w:line="321" w:lineRule="auto"/>
        <w:ind w:right="119"/>
        <w:rPr>
          <w:sz w:val="25"/>
        </w:rPr>
      </w:pPr>
      <w:r>
        <w:rPr>
          <w:rFonts w:ascii="Arial" w:hAnsi="Arial"/>
          <w:b/>
          <w:sz w:val="25"/>
          <w:u w:val="single"/>
        </w:rPr>
        <w:t>Prestación por crianza</w:t>
      </w:r>
      <w:r>
        <w:rPr>
          <w:sz w:val="25"/>
        </w:rPr>
        <w:t xml:space="preserve">. La ley reconoce una asignación por crianza de </w:t>
      </w:r>
      <w:r>
        <w:rPr>
          <w:sz w:val="25"/>
          <w:u w:val="single"/>
        </w:rPr>
        <w:t>100 euros mensuales para familias con hijos e hijas</w:t>
      </w:r>
      <w:r>
        <w:rPr>
          <w:sz w:val="25"/>
        </w:rPr>
        <w:t xml:space="preserve"> </w:t>
      </w:r>
      <w:r>
        <w:rPr>
          <w:sz w:val="25"/>
          <w:u w:val="single"/>
        </w:rPr>
        <w:t>de cero a tres años</w:t>
      </w:r>
      <w:r>
        <w:rPr>
          <w:sz w:val="25"/>
        </w:rPr>
        <w:t>.</w:t>
      </w:r>
    </w:p>
    <w:p w:rsidR="00BE3BDC" w:rsidRDefault="00BE3BDC">
      <w:pPr>
        <w:spacing w:line="321" w:lineRule="auto"/>
        <w:jc w:val="both"/>
        <w:rPr>
          <w:sz w:val="25"/>
        </w:rPr>
        <w:sectPr w:rsidR="00BE3B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60" w:right="1580" w:bottom="1620" w:left="1600" w:header="578" w:footer="1435" w:gutter="0"/>
          <w:pgNumType w:start="1"/>
          <w:cols w:space="720"/>
        </w:sectPr>
      </w:pPr>
    </w:p>
    <w:p w:rsidR="00BE3BDC" w:rsidRDefault="00494A78">
      <w:pPr>
        <w:pStyle w:val="Prrafodelista"/>
        <w:numPr>
          <w:ilvl w:val="0"/>
          <w:numId w:val="2"/>
        </w:numPr>
        <w:tabs>
          <w:tab w:val="left" w:pos="1542"/>
        </w:tabs>
        <w:spacing w:before="172" w:line="321" w:lineRule="auto"/>
        <w:ind w:right="116"/>
        <w:rPr>
          <w:sz w:val="25"/>
        </w:rPr>
      </w:pPr>
      <w:r>
        <w:rPr>
          <w:rFonts w:ascii="Arial" w:hAnsi="Arial"/>
          <w:b/>
          <w:sz w:val="25"/>
          <w:u w:val="single"/>
        </w:rPr>
        <w:lastRenderedPageBreak/>
        <w:t xml:space="preserve">Protección a las familias </w:t>
      </w:r>
      <w:proofErr w:type="spellStart"/>
      <w:r>
        <w:rPr>
          <w:rFonts w:ascii="Arial" w:hAnsi="Arial"/>
          <w:b/>
          <w:sz w:val="25"/>
          <w:u w:val="single"/>
        </w:rPr>
        <w:t>monoparentales</w:t>
      </w:r>
      <w:proofErr w:type="spellEnd"/>
      <w:r>
        <w:rPr>
          <w:sz w:val="25"/>
        </w:rPr>
        <w:t xml:space="preserve">. Las familias con una sola persona progenitora (8 de cada 10 son mujeres) dispondrán de un </w:t>
      </w:r>
      <w:r>
        <w:rPr>
          <w:sz w:val="25"/>
          <w:u w:val="single"/>
        </w:rPr>
        <w:t>título de acredit</w:t>
      </w:r>
      <w:r>
        <w:rPr>
          <w:sz w:val="25"/>
          <w:u w:val="single"/>
        </w:rPr>
        <w:t>ación oficial de familia</w:t>
      </w:r>
      <w:r>
        <w:rPr>
          <w:sz w:val="25"/>
        </w:rPr>
        <w:t xml:space="preserve"> </w:t>
      </w:r>
      <w:proofErr w:type="spellStart"/>
      <w:r>
        <w:rPr>
          <w:sz w:val="25"/>
          <w:u w:val="single"/>
        </w:rPr>
        <w:t>monoparental</w:t>
      </w:r>
      <w:proofErr w:type="spellEnd"/>
      <w:r>
        <w:rPr>
          <w:sz w:val="25"/>
        </w:rPr>
        <w:t xml:space="preserve">. Este título se tendrá en cuenta para el </w:t>
      </w:r>
      <w:r>
        <w:rPr>
          <w:sz w:val="25"/>
          <w:u w:val="single"/>
        </w:rPr>
        <w:t>acceso</w:t>
      </w:r>
      <w:r>
        <w:rPr>
          <w:sz w:val="25"/>
        </w:rPr>
        <w:t xml:space="preserve"> </w:t>
      </w:r>
      <w:r>
        <w:rPr>
          <w:sz w:val="25"/>
          <w:u w:val="single"/>
        </w:rPr>
        <w:t>preferente a distintos servicios públicos, y, en particular, va a</w:t>
      </w:r>
      <w:r>
        <w:rPr>
          <w:sz w:val="25"/>
        </w:rPr>
        <w:t xml:space="preserve"> </w:t>
      </w:r>
      <w:r>
        <w:rPr>
          <w:sz w:val="25"/>
          <w:u w:val="single"/>
        </w:rPr>
        <w:t>ofrecer la posibilidad de que tengan 16 semanas de educación</w:t>
      </w:r>
      <w:r>
        <w:rPr>
          <w:sz w:val="25"/>
        </w:rPr>
        <w:t xml:space="preserve"> </w:t>
      </w:r>
      <w:r>
        <w:rPr>
          <w:sz w:val="25"/>
          <w:u w:val="single"/>
        </w:rPr>
        <w:t>infantil de forma gratuita dentro de los pr</w:t>
      </w:r>
      <w:r>
        <w:rPr>
          <w:sz w:val="25"/>
          <w:u w:val="single"/>
        </w:rPr>
        <w:t>imeros 24 meses</w:t>
      </w:r>
      <w:r>
        <w:rPr>
          <w:sz w:val="25"/>
        </w:rPr>
        <w:t xml:space="preserve"> de vida</w:t>
      </w:r>
      <w:r>
        <w:rPr>
          <w:spacing w:val="-2"/>
          <w:sz w:val="25"/>
        </w:rPr>
        <w:t xml:space="preserve"> </w:t>
      </w:r>
      <w:r>
        <w:rPr>
          <w:sz w:val="25"/>
        </w:rPr>
        <w:t>del</w:t>
      </w:r>
      <w:r>
        <w:rPr>
          <w:spacing w:val="-2"/>
          <w:sz w:val="25"/>
        </w:rPr>
        <w:t xml:space="preserve"> </w:t>
      </w:r>
      <w:r>
        <w:rPr>
          <w:sz w:val="25"/>
        </w:rPr>
        <w:t>hijo</w:t>
      </w:r>
      <w:r>
        <w:rPr>
          <w:spacing w:val="-2"/>
          <w:sz w:val="25"/>
        </w:rPr>
        <w:t xml:space="preserve"> </w:t>
      </w:r>
      <w:r>
        <w:rPr>
          <w:sz w:val="25"/>
        </w:rPr>
        <w:t>o</w:t>
      </w:r>
      <w:r>
        <w:rPr>
          <w:spacing w:val="-2"/>
          <w:sz w:val="25"/>
        </w:rPr>
        <w:t xml:space="preserve"> </w:t>
      </w:r>
      <w:r>
        <w:rPr>
          <w:sz w:val="25"/>
        </w:rPr>
        <w:t>la</w:t>
      </w:r>
      <w:r>
        <w:rPr>
          <w:spacing w:val="-5"/>
          <w:sz w:val="25"/>
        </w:rPr>
        <w:t xml:space="preserve"> </w:t>
      </w:r>
      <w:r>
        <w:rPr>
          <w:sz w:val="25"/>
        </w:rPr>
        <w:t>hija.</w:t>
      </w:r>
      <w:r>
        <w:rPr>
          <w:spacing w:val="-5"/>
          <w:sz w:val="25"/>
        </w:rPr>
        <w:t xml:space="preserve"> </w:t>
      </w:r>
      <w:r>
        <w:rPr>
          <w:sz w:val="25"/>
        </w:rPr>
        <w:t>Además,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se </w:t>
      </w:r>
      <w:r>
        <w:rPr>
          <w:rFonts w:ascii="Arial" w:hAnsi="Arial"/>
          <w:b/>
          <w:sz w:val="25"/>
        </w:rPr>
        <w:t xml:space="preserve">equipararán </w:t>
      </w:r>
      <w:r>
        <w:rPr>
          <w:sz w:val="25"/>
        </w:rPr>
        <w:t>los</w:t>
      </w:r>
      <w:r>
        <w:rPr>
          <w:spacing w:val="-2"/>
          <w:sz w:val="25"/>
        </w:rPr>
        <w:t xml:space="preserve"> </w:t>
      </w:r>
      <w:r>
        <w:rPr>
          <w:sz w:val="25"/>
        </w:rPr>
        <w:t>derechos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de las </w:t>
      </w:r>
      <w:r>
        <w:rPr>
          <w:rFonts w:ascii="Arial" w:hAnsi="Arial"/>
          <w:b/>
          <w:sz w:val="25"/>
        </w:rPr>
        <w:t xml:space="preserve">familias </w:t>
      </w:r>
      <w:proofErr w:type="spellStart"/>
      <w:r>
        <w:rPr>
          <w:rFonts w:ascii="Arial" w:hAnsi="Arial"/>
          <w:b/>
          <w:sz w:val="25"/>
        </w:rPr>
        <w:t>monoparentales</w:t>
      </w:r>
      <w:proofErr w:type="spellEnd"/>
      <w:r>
        <w:rPr>
          <w:rFonts w:ascii="Arial" w:hAnsi="Arial"/>
          <w:b/>
          <w:sz w:val="25"/>
        </w:rPr>
        <w:t xml:space="preserve"> con dos hijos a los de las familias numerosas</w:t>
      </w:r>
      <w:r>
        <w:rPr>
          <w:sz w:val="25"/>
        </w:rPr>
        <w:t>.</w:t>
      </w:r>
    </w:p>
    <w:p w:rsidR="00BE3BDC" w:rsidRDefault="00494A78">
      <w:pPr>
        <w:pStyle w:val="Prrafodelista"/>
        <w:numPr>
          <w:ilvl w:val="0"/>
          <w:numId w:val="2"/>
        </w:numPr>
        <w:tabs>
          <w:tab w:val="left" w:pos="1542"/>
        </w:tabs>
        <w:spacing w:before="229" w:line="321" w:lineRule="auto"/>
        <w:ind w:right="115"/>
        <w:rPr>
          <w:sz w:val="25"/>
        </w:rPr>
      </w:pPr>
      <w:r>
        <w:rPr>
          <w:rFonts w:ascii="Arial" w:hAnsi="Arial"/>
          <w:b/>
          <w:sz w:val="25"/>
        </w:rPr>
        <w:t>Protección a las familias numerosas</w:t>
      </w:r>
      <w:r>
        <w:rPr>
          <w:sz w:val="25"/>
        </w:rPr>
        <w:t xml:space="preserve">. Se reconocerán como </w:t>
      </w:r>
      <w:r>
        <w:rPr>
          <w:rFonts w:ascii="Arial" w:hAnsi="Arial"/>
          <w:b/>
          <w:sz w:val="25"/>
        </w:rPr>
        <w:t>familias</w:t>
      </w:r>
      <w:r>
        <w:rPr>
          <w:rFonts w:ascii="Arial" w:hAnsi="Arial"/>
          <w:b/>
          <w:spacing w:val="-11"/>
          <w:sz w:val="25"/>
        </w:rPr>
        <w:t xml:space="preserve"> </w:t>
      </w:r>
      <w:r>
        <w:rPr>
          <w:rFonts w:ascii="Arial" w:hAnsi="Arial"/>
          <w:b/>
          <w:sz w:val="25"/>
        </w:rPr>
        <w:t>numerosas</w:t>
      </w:r>
      <w:r>
        <w:rPr>
          <w:rFonts w:ascii="Arial" w:hAnsi="Arial"/>
          <w:b/>
          <w:spacing w:val="-11"/>
          <w:sz w:val="25"/>
        </w:rPr>
        <w:t xml:space="preserve"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-8"/>
          <w:sz w:val="25"/>
        </w:rPr>
        <w:t xml:space="preserve"> </w:t>
      </w:r>
      <w:r>
        <w:rPr>
          <w:rFonts w:ascii="Arial" w:hAnsi="Arial"/>
          <w:b/>
          <w:sz w:val="25"/>
        </w:rPr>
        <w:t>categoría</w:t>
      </w:r>
      <w:r>
        <w:rPr>
          <w:rFonts w:ascii="Arial" w:hAnsi="Arial"/>
          <w:b/>
          <w:spacing w:val="-8"/>
          <w:sz w:val="25"/>
        </w:rPr>
        <w:t xml:space="preserve"> </w:t>
      </w:r>
      <w:r>
        <w:rPr>
          <w:rFonts w:ascii="Arial" w:hAnsi="Arial"/>
          <w:b/>
          <w:sz w:val="25"/>
        </w:rPr>
        <w:t>especial</w:t>
      </w:r>
      <w:r>
        <w:rPr>
          <w:rFonts w:ascii="Arial" w:hAnsi="Arial"/>
          <w:b/>
          <w:spacing w:val="-3"/>
          <w:sz w:val="25"/>
        </w:rPr>
        <w:t xml:space="preserve"> </w:t>
      </w:r>
      <w:r>
        <w:rPr>
          <w:sz w:val="25"/>
        </w:rPr>
        <w:t>todas</w:t>
      </w:r>
      <w:r>
        <w:rPr>
          <w:spacing w:val="-8"/>
          <w:sz w:val="25"/>
        </w:rPr>
        <w:t xml:space="preserve"> </w:t>
      </w:r>
      <w:r>
        <w:rPr>
          <w:sz w:val="25"/>
        </w:rPr>
        <w:t>aquellas</w:t>
      </w:r>
      <w:r>
        <w:rPr>
          <w:spacing w:val="-9"/>
          <w:sz w:val="25"/>
        </w:rPr>
        <w:t xml:space="preserve"> </w:t>
      </w:r>
      <w:r>
        <w:rPr>
          <w:sz w:val="25"/>
        </w:rPr>
        <w:t>con cuatro</w:t>
      </w:r>
      <w:r>
        <w:rPr>
          <w:spacing w:val="-10"/>
          <w:sz w:val="25"/>
        </w:rPr>
        <w:t xml:space="preserve"> </w:t>
      </w:r>
      <w:r>
        <w:rPr>
          <w:sz w:val="25"/>
        </w:rPr>
        <w:t>o</w:t>
      </w:r>
      <w:r>
        <w:rPr>
          <w:spacing w:val="-10"/>
          <w:sz w:val="25"/>
        </w:rPr>
        <w:t xml:space="preserve"> </w:t>
      </w:r>
      <w:r>
        <w:rPr>
          <w:sz w:val="25"/>
        </w:rPr>
        <w:t>más</w:t>
      </w:r>
      <w:r>
        <w:rPr>
          <w:spacing w:val="-10"/>
          <w:sz w:val="25"/>
        </w:rPr>
        <w:t xml:space="preserve"> </w:t>
      </w:r>
      <w:r>
        <w:rPr>
          <w:sz w:val="25"/>
        </w:rPr>
        <w:t>hijos</w:t>
      </w:r>
      <w:r>
        <w:rPr>
          <w:spacing w:val="-10"/>
          <w:sz w:val="25"/>
        </w:rPr>
        <w:t xml:space="preserve"> </w:t>
      </w:r>
      <w:r>
        <w:rPr>
          <w:sz w:val="25"/>
        </w:rPr>
        <w:t>o</w:t>
      </w:r>
      <w:r>
        <w:rPr>
          <w:spacing w:val="-10"/>
          <w:sz w:val="25"/>
        </w:rPr>
        <w:t xml:space="preserve"> </w:t>
      </w:r>
      <w:r>
        <w:rPr>
          <w:sz w:val="25"/>
        </w:rPr>
        <w:t>hijas</w:t>
      </w:r>
      <w:r>
        <w:rPr>
          <w:spacing w:val="-11"/>
          <w:sz w:val="25"/>
        </w:rPr>
        <w:t xml:space="preserve"> </w:t>
      </w:r>
      <w:r>
        <w:rPr>
          <w:sz w:val="25"/>
        </w:rPr>
        <w:t>(anteriormente</w:t>
      </w:r>
      <w:r>
        <w:rPr>
          <w:spacing w:val="-10"/>
          <w:sz w:val="25"/>
        </w:rPr>
        <w:t xml:space="preserve"> </w:t>
      </w:r>
      <w:r>
        <w:rPr>
          <w:sz w:val="25"/>
        </w:rPr>
        <w:t>reconocidas</w:t>
      </w:r>
      <w:r>
        <w:rPr>
          <w:spacing w:val="-11"/>
          <w:sz w:val="25"/>
        </w:rPr>
        <w:t xml:space="preserve"> </w:t>
      </w:r>
      <w:r>
        <w:rPr>
          <w:sz w:val="25"/>
        </w:rPr>
        <w:t>a</w:t>
      </w:r>
      <w:r>
        <w:rPr>
          <w:spacing w:val="-10"/>
          <w:sz w:val="25"/>
        </w:rPr>
        <w:t xml:space="preserve"> </w:t>
      </w:r>
      <w:r>
        <w:rPr>
          <w:sz w:val="25"/>
        </w:rPr>
        <w:t>partir</w:t>
      </w:r>
      <w:r>
        <w:rPr>
          <w:spacing w:val="-10"/>
          <w:sz w:val="25"/>
        </w:rPr>
        <w:t xml:space="preserve"> </w:t>
      </w:r>
      <w:r>
        <w:rPr>
          <w:sz w:val="25"/>
        </w:rPr>
        <w:t>de los cinco) o con tres</w:t>
      </w:r>
      <w:r>
        <w:rPr>
          <w:spacing w:val="-1"/>
          <w:sz w:val="25"/>
        </w:rPr>
        <w:t xml:space="preserve"> </w:t>
      </w:r>
      <w:r>
        <w:rPr>
          <w:sz w:val="25"/>
        </w:rPr>
        <w:t>en caso de parto múltiple (anteriormente a partir de los cuatro). Se reducen también a tres, cuando sus ingresos anuales, divididos por el número esp</w:t>
      </w:r>
      <w:r>
        <w:rPr>
          <w:sz w:val="25"/>
        </w:rPr>
        <w:t xml:space="preserve">ecial de sus miembros, no superen el 150% del IPREM vigente. Otra </w:t>
      </w:r>
      <w:r>
        <w:rPr>
          <w:spacing w:val="-2"/>
          <w:sz w:val="25"/>
        </w:rPr>
        <w:t>novedad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es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que,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en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caso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de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en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caso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de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separaciones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divorcios </w:t>
      </w:r>
      <w:r>
        <w:rPr>
          <w:sz w:val="25"/>
        </w:rPr>
        <w:t>con</w:t>
      </w:r>
      <w:r>
        <w:rPr>
          <w:spacing w:val="-6"/>
          <w:sz w:val="25"/>
        </w:rPr>
        <w:t xml:space="preserve"> </w:t>
      </w:r>
      <w:r>
        <w:rPr>
          <w:sz w:val="25"/>
        </w:rPr>
        <w:t>custodia</w:t>
      </w:r>
      <w:r>
        <w:rPr>
          <w:spacing w:val="-6"/>
          <w:sz w:val="25"/>
        </w:rPr>
        <w:t xml:space="preserve"> </w:t>
      </w:r>
      <w:r>
        <w:rPr>
          <w:sz w:val="25"/>
        </w:rPr>
        <w:t>compartida,</w:t>
      </w:r>
      <w:r>
        <w:rPr>
          <w:spacing w:val="-7"/>
          <w:sz w:val="25"/>
        </w:rPr>
        <w:t xml:space="preserve"> </w:t>
      </w:r>
      <w:r>
        <w:rPr>
          <w:sz w:val="25"/>
        </w:rPr>
        <w:t>el</w:t>
      </w:r>
      <w:r>
        <w:rPr>
          <w:spacing w:val="-7"/>
          <w:sz w:val="25"/>
        </w:rPr>
        <w:t xml:space="preserve"> </w:t>
      </w:r>
      <w:r>
        <w:rPr>
          <w:sz w:val="25"/>
        </w:rPr>
        <w:t>título</w:t>
      </w:r>
      <w:r>
        <w:rPr>
          <w:spacing w:val="-7"/>
          <w:sz w:val="25"/>
        </w:rPr>
        <w:t xml:space="preserve"> </w:t>
      </w:r>
      <w:r>
        <w:rPr>
          <w:sz w:val="25"/>
        </w:rPr>
        <w:t>de</w:t>
      </w:r>
      <w:r>
        <w:rPr>
          <w:spacing w:val="-6"/>
          <w:sz w:val="25"/>
        </w:rPr>
        <w:t xml:space="preserve"> </w:t>
      </w:r>
      <w:r>
        <w:rPr>
          <w:sz w:val="25"/>
        </w:rPr>
        <w:t>familia</w:t>
      </w:r>
      <w:r>
        <w:rPr>
          <w:spacing w:val="-9"/>
          <w:sz w:val="25"/>
        </w:rPr>
        <w:t xml:space="preserve"> </w:t>
      </w:r>
      <w:r>
        <w:rPr>
          <w:sz w:val="25"/>
        </w:rPr>
        <w:t>numerosa</w:t>
      </w:r>
      <w:r>
        <w:rPr>
          <w:spacing w:val="-6"/>
          <w:sz w:val="25"/>
        </w:rPr>
        <w:t xml:space="preserve"> </w:t>
      </w:r>
      <w:r>
        <w:rPr>
          <w:sz w:val="25"/>
        </w:rPr>
        <w:t>lo</w:t>
      </w:r>
      <w:r>
        <w:rPr>
          <w:spacing w:val="-7"/>
          <w:sz w:val="25"/>
        </w:rPr>
        <w:t xml:space="preserve"> </w:t>
      </w:r>
      <w:r>
        <w:rPr>
          <w:sz w:val="25"/>
        </w:rPr>
        <w:t>podrán ostentar</w:t>
      </w:r>
      <w:r>
        <w:rPr>
          <w:spacing w:val="-14"/>
          <w:sz w:val="25"/>
        </w:rPr>
        <w:t xml:space="preserve"> </w:t>
      </w:r>
      <w:r>
        <w:rPr>
          <w:sz w:val="25"/>
        </w:rPr>
        <w:t>ambos</w:t>
      </w:r>
      <w:r>
        <w:rPr>
          <w:spacing w:val="-15"/>
          <w:sz w:val="25"/>
        </w:rPr>
        <w:t xml:space="preserve"> </w:t>
      </w:r>
      <w:r>
        <w:rPr>
          <w:sz w:val="25"/>
        </w:rPr>
        <w:t>progenitores,</w:t>
      </w:r>
      <w:r>
        <w:rPr>
          <w:spacing w:val="-14"/>
          <w:sz w:val="25"/>
        </w:rPr>
        <w:t xml:space="preserve"> </w:t>
      </w:r>
      <w:r>
        <w:rPr>
          <w:sz w:val="25"/>
        </w:rPr>
        <w:t>para</w:t>
      </w:r>
      <w:r>
        <w:rPr>
          <w:spacing w:val="-15"/>
          <w:sz w:val="25"/>
        </w:rPr>
        <w:t xml:space="preserve"> </w:t>
      </w:r>
      <w:r>
        <w:rPr>
          <w:sz w:val="25"/>
        </w:rPr>
        <w:t>que</w:t>
      </w:r>
      <w:r>
        <w:rPr>
          <w:spacing w:val="-15"/>
          <w:sz w:val="25"/>
        </w:rPr>
        <w:t xml:space="preserve"> </w:t>
      </w:r>
      <w:r>
        <w:rPr>
          <w:sz w:val="25"/>
        </w:rPr>
        <w:t>ambos</w:t>
      </w:r>
      <w:r>
        <w:rPr>
          <w:spacing w:val="-15"/>
          <w:sz w:val="25"/>
        </w:rPr>
        <w:t xml:space="preserve"> </w:t>
      </w:r>
      <w:r>
        <w:rPr>
          <w:sz w:val="25"/>
        </w:rPr>
        <w:t>puedan</w:t>
      </w:r>
      <w:r>
        <w:rPr>
          <w:spacing w:val="-15"/>
          <w:sz w:val="25"/>
        </w:rPr>
        <w:t xml:space="preserve"> </w:t>
      </w:r>
      <w:r>
        <w:rPr>
          <w:sz w:val="25"/>
        </w:rPr>
        <w:t>acogerse a sus beneficios.</w:t>
      </w:r>
    </w:p>
    <w:p w:rsidR="00BE3BDC" w:rsidRDefault="00494A78">
      <w:pPr>
        <w:pStyle w:val="Prrafodelista"/>
        <w:numPr>
          <w:ilvl w:val="0"/>
          <w:numId w:val="2"/>
        </w:numPr>
        <w:tabs>
          <w:tab w:val="left" w:pos="1542"/>
        </w:tabs>
        <w:spacing w:before="227" w:line="321" w:lineRule="auto"/>
        <w:ind w:right="120"/>
        <w:rPr>
          <w:sz w:val="25"/>
        </w:rPr>
      </w:pPr>
      <w:r>
        <w:rPr>
          <w:rFonts w:ascii="Arial" w:hAnsi="Arial"/>
          <w:b/>
          <w:sz w:val="25"/>
        </w:rPr>
        <w:t>Protección a las familias migrantes</w:t>
      </w:r>
      <w:r>
        <w:rPr>
          <w:sz w:val="25"/>
        </w:rPr>
        <w:t xml:space="preserve">. En las situaciones familiares en las que alguno de sus miembros proceda de otro Estado o territorio y no tenga regularizada su situación administrativa, </w:t>
      </w:r>
      <w:r>
        <w:rPr>
          <w:sz w:val="25"/>
          <w:u w:val="single"/>
        </w:rPr>
        <w:t xml:space="preserve">la ley garantizará un NIE para niños y </w:t>
      </w:r>
      <w:r>
        <w:rPr>
          <w:sz w:val="25"/>
          <w:u w:val="single"/>
        </w:rPr>
        <w:t>niñas</w:t>
      </w:r>
      <w:r>
        <w:rPr>
          <w:sz w:val="25"/>
        </w:rPr>
        <w:t xml:space="preserve"> </w:t>
      </w:r>
      <w:r>
        <w:rPr>
          <w:sz w:val="25"/>
          <w:u w:val="single"/>
        </w:rPr>
        <w:t>cuyos progenitores estén en situación irregular</w:t>
      </w:r>
      <w:r>
        <w:rPr>
          <w:sz w:val="25"/>
        </w:rPr>
        <w:t>.</w:t>
      </w:r>
    </w:p>
    <w:p w:rsidR="00BE3BDC" w:rsidRDefault="00494A78">
      <w:pPr>
        <w:pStyle w:val="Prrafodelista"/>
        <w:numPr>
          <w:ilvl w:val="0"/>
          <w:numId w:val="2"/>
        </w:numPr>
        <w:tabs>
          <w:tab w:val="left" w:pos="1542"/>
        </w:tabs>
        <w:spacing w:before="234" w:line="321" w:lineRule="auto"/>
        <w:ind w:right="113"/>
        <w:rPr>
          <w:sz w:val="25"/>
        </w:rPr>
      </w:pPr>
      <w:r>
        <w:rPr>
          <w:rFonts w:ascii="Arial" w:hAnsi="Arial"/>
          <w:b/>
          <w:sz w:val="25"/>
        </w:rPr>
        <w:t>Protección a familias con personas con discapacidad</w:t>
      </w:r>
      <w:r>
        <w:rPr>
          <w:sz w:val="25"/>
        </w:rPr>
        <w:t xml:space="preserve">. Se </w:t>
      </w:r>
      <w:r>
        <w:rPr>
          <w:rFonts w:ascii="Arial" w:hAnsi="Arial"/>
          <w:b/>
          <w:sz w:val="25"/>
        </w:rPr>
        <w:t xml:space="preserve">equipararán los derechos de las familias numerosas </w:t>
      </w:r>
      <w:r>
        <w:rPr>
          <w:sz w:val="25"/>
        </w:rPr>
        <w:t xml:space="preserve">a aquellas </w:t>
      </w:r>
      <w:r>
        <w:rPr>
          <w:rFonts w:ascii="Arial" w:hAnsi="Arial"/>
          <w:b/>
          <w:sz w:val="25"/>
        </w:rPr>
        <w:t>familias que tengan un ascendiente con un grado de discapacidad igual o superior al</w:t>
      </w:r>
      <w:r>
        <w:rPr>
          <w:rFonts w:ascii="Arial" w:hAnsi="Arial"/>
          <w:b/>
          <w:sz w:val="25"/>
        </w:rPr>
        <w:t xml:space="preserve"> 33% (frente al 65% actual). </w:t>
      </w:r>
      <w:r>
        <w:rPr>
          <w:sz w:val="25"/>
        </w:rPr>
        <w:t xml:space="preserve">Y en </w:t>
      </w:r>
      <w:r>
        <w:rPr>
          <w:sz w:val="25"/>
          <w:u w:val="single"/>
        </w:rPr>
        <w:t>familias con menores de edad con discapacidad</w:t>
      </w:r>
      <w:r>
        <w:rPr>
          <w:sz w:val="25"/>
        </w:rPr>
        <w:t>, las</w:t>
      </w:r>
      <w:r>
        <w:rPr>
          <w:spacing w:val="28"/>
          <w:sz w:val="25"/>
        </w:rPr>
        <w:t xml:space="preserve"> </w:t>
      </w:r>
      <w:r>
        <w:rPr>
          <w:sz w:val="25"/>
        </w:rPr>
        <w:t>administraciones competentes</w:t>
      </w:r>
      <w:r>
        <w:rPr>
          <w:spacing w:val="29"/>
          <w:sz w:val="25"/>
        </w:rPr>
        <w:t xml:space="preserve"> </w:t>
      </w:r>
      <w:r>
        <w:rPr>
          <w:sz w:val="25"/>
        </w:rPr>
        <w:t>estarán</w:t>
      </w:r>
      <w:r>
        <w:rPr>
          <w:spacing w:val="30"/>
          <w:sz w:val="25"/>
        </w:rPr>
        <w:t xml:space="preserve"> </w:t>
      </w:r>
      <w:r>
        <w:rPr>
          <w:sz w:val="25"/>
          <w:u w:val="single"/>
        </w:rPr>
        <w:t>obligadas</w:t>
      </w:r>
      <w:r>
        <w:rPr>
          <w:spacing w:val="28"/>
          <w:sz w:val="25"/>
          <w:u w:val="single"/>
        </w:rPr>
        <w:t xml:space="preserve"> </w:t>
      </w:r>
      <w:r>
        <w:rPr>
          <w:sz w:val="25"/>
          <w:u w:val="single"/>
        </w:rPr>
        <w:t>por</w:t>
      </w:r>
      <w:r>
        <w:rPr>
          <w:spacing w:val="29"/>
          <w:sz w:val="25"/>
          <w:u w:val="single"/>
        </w:rPr>
        <w:t xml:space="preserve"> </w:t>
      </w:r>
      <w:r>
        <w:rPr>
          <w:sz w:val="25"/>
          <w:u w:val="single"/>
        </w:rPr>
        <w:t>ley a</w:t>
      </w:r>
    </w:p>
    <w:p w:rsidR="00BE3BDC" w:rsidRDefault="00BE3BDC">
      <w:pPr>
        <w:spacing w:line="321" w:lineRule="auto"/>
        <w:jc w:val="both"/>
        <w:rPr>
          <w:sz w:val="25"/>
        </w:rPr>
        <w:sectPr w:rsidR="00BE3BDC">
          <w:pgSz w:w="11910" w:h="16840"/>
          <w:pgMar w:top="1660" w:right="1580" w:bottom="1620" w:left="1600" w:header="578" w:footer="1435" w:gutter="0"/>
          <w:cols w:space="720"/>
        </w:sectPr>
      </w:pPr>
    </w:p>
    <w:p w:rsidR="00BE3BDC" w:rsidRDefault="00494A78">
      <w:pPr>
        <w:pStyle w:val="Textoindependiente"/>
        <w:spacing w:before="172" w:line="321" w:lineRule="auto"/>
        <w:ind w:left="1542"/>
      </w:pPr>
      <w:proofErr w:type="gramStart"/>
      <w:r>
        <w:rPr>
          <w:u w:val="single"/>
        </w:rPr>
        <w:lastRenderedPageBreak/>
        <w:t>asegurar</w:t>
      </w:r>
      <w:proofErr w:type="gramEnd"/>
      <w:r>
        <w:rPr>
          <w:spacing w:val="-18"/>
          <w:u w:val="single"/>
        </w:rPr>
        <w:t xml:space="preserve"> </w:t>
      </w:r>
      <w:r>
        <w:rPr>
          <w:u w:val="single"/>
        </w:rPr>
        <w:t>la</w:t>
      </w:r>
      <w:r>
        <w:rPr>
          <w:spacing w:val="-17"/>
          <w:u w:val="single"/>
        </w:rPr>
        <w:t xml:space="preserve"> </w:t>
      </w:r>
      <w:r>
        <w:rPr>
          <w:u w:val="single"/>
        </w:rPr>
        <w:t>atención</w:t>
      </w:r>
      <w:r>
        <w:rPr>
          <w:spacing w:val="-18"/>
          <w:u w:val="single"/>
        </w:rPr>
        <w:t xml:space="preserve"> </w:t>
      </w:r>
      <w:r>
        <w:rPr>
          <w:u w:val="single"/>
        </w:rPr>
        <w:t>temprana</w:t>
      </w:r>
      <w:r>
        <w:rPr>
          <w:spacing w:val="-17"/>
          <w:u w:val="single"/>
        </w:rPr>
        <w:t xml:space="preserve"> </w:t>
      </w:r>
      <w:r>
        <w:rPr>
          <w:u w:val="single"/>
        </w:rPr>
        <w:t>y</w:t>
      </w:r>
      <w:r>
        <w:rPr>
          <w:spacing w:val="-17"/>
          <w:u w:val="single"/>
        </w:rPr>
        <w:t xml:space="preserve"> </w:t>
      </w:r>
      <w:r>
        <w:rPr>
          <w:u w:val="single"/>
        </w:rPr>
        <w:t>a</w:t>
      </w:r>
      <w:r>
        <w:rPr>
          <w:spacing w:val="-18"/>
          <w:u w:val="single"/>
        </w:rPr>
        <w:t xml:space="preserve"> </w:t>
      </w:r>
      <w:r>
        <w:rPr>
          <w:u w:val="single"/>
        </w:rPr>
        <w:t>facilitar</w:t>
      </w:r>
      <w:r>
        <w:rPr>
          <w:spacing w:val="-17"/>
          <w:u w:val="single"/>
        </w:rPr>
        <w:t xml:space="preserve"> </w:t>
      </w:r>
      <w:r>
        <w:rPr>
          <w:u w:val="single"/>
        </w:rPr>
        <w:t>los</w:t>
      </w:r>
      <w:r>
        <w:rPr>
          <w:spacing w:val="-17"/>
          <w:u w:val="single"/>
        </w:rPr>
        <w:t xml:space="preserve"> </w:t>
      </w:r>
      <w:r>
        <w:rPr>
          <w:u w:val="single"/>
        </w:rPr>
        <w:t>apoyos</w:t>
      </w:r>
      <w:r>
        <w:rPr>
          <w:spacing w:val="-18"/>
          <w:u w:val="single"/>
        </w:rPr>
        <w:t xml:space="preserve"> </w:t>
      </w:r>
      <w:r>
        <w:rPr>
          <w:u w:val="single"/>
        </w:rPr>
        <w:t>educativos</w:t>
      </w:r>
      <w:r>
        <w:t xml:space="preserve"> </w:t>
      </w:r>
      <w:r>
        <w:rPr>
          <w:spacing w:val="-2"/>
          <w:u w:val="single"/>
        </w:rPr>
        <w:t>necesarios</w:t>
      </w:r>
      <w:r>
        <w:rPr>
          <w:spacing w:val="-2"/>
        </w:rPr>
        <w:t>.</w:t>
      </w:r>
    </w:p>
    <w:p w:rsidR="00BE3BDC" w:rsidRDefault="00494A78">
      <w:pPr>
        <w:pStyle w:val="Prrafodelista"/>
        <w:numPr>
          <w:ilvl w:val="0"/>
          <w:numId w:val="2"/>
        </w:numPr>
        <w:tabs>
          <w:tab w:val="left" w:pos="1542"/>
        </w:tabs>
        <w:spacing w:before="238" w:line="321" w:lineRule="auto"/>
        <w:rPr>
          <w:sz w:val="25"/>
        </w:rPr>
      </w:pPr>
      <w:r>
        <w:rPr>
          <w:rFonts w:ascii="Arial" w:hAnsi="Arial"/>
          <w:b/>
          <w:sz w:val="25"/>
        </w:rPr>
        <w:t>Más</w:t>
      </w:r>
      <w:r>
        <w:rPr>
          <w:rFonts w:ascii="Arial" w:hAnsi="Arial"/>
          <w:b/>
          <w:spacing w:val="-13"/>
          <w:sz w:val="25"/>
        </w:rPr>
        <w:t xml:space="preserve"> </w:t>
      </w:r>
      <w:r>
        <w:rPr>
          <w:rFonts w:ascii="Arial" w:hAnsi="Arial"/>
          <w:b/>
          <w:sz w:val="25"/>
        </w:rPr>
        <w:t>derechos</w:t>
      </w:r>
      <w:r>
        <w:rPr>
          <w:rFonts w:ascii="Arial" w:hAnsi="Arial"/>
          <w:b/>
          <w:spacing w:val="-13"/>
          <w:sz w:val="25"/>
        </w:rPr>
        <w:t xml:space="preserve"> </w:t>
      </w:r>
      <w:r>
        <w:rPr>
          <w:rFonts w:ascii="Arial" w:hAnsi="Arial"/>
          <w:b/>
          <w:sz w:val="25"/>
        </w:rPr>
        <w:t>para</w:t>
      </w:r>
      <w:r>
        <w:rPr>
          <w:rFonts w:ascii="Arial" w:hAnsi="Arial"/>
          <w:b/>
          <w:spacing w:val="-15"/>
          <w:sz w:val="25"/>
        </w:rPr>
        <w:t xml:space="preserve"> </w:t>
      </w:r>
      <w:r>
        <w:rPr>
          <w:rFonts w:ascii="Arial" w:hAnsi="Arial"/>
          <w:b/>
          <w:sz w:val="25"/>
        </w:rPr>
        <w:t>las</w:t>
      </w:r>
      <w:r>
        <w:rPr>
          <w:rFonts w:ascii="Arial" w:hAnsi="Arial"/>
          <w:b/>
          <w:spacing w:val="-13"/>
          <w:sz w:val="25"/>
        </w:rPr>
        <w:t xml:space="preserve"> </w:t>
      </w:r>
      <w:r>
        <w:rPr>
          <w:rFonts w:ascii="Arial" w:hAnsi="Arial"/>
          <w:b/>
          <w:sz w:val="25"/>
        </w:rPr>
        <w:t>parejas</w:t>
      </w:r>
      <w:r>
        <w:rPr>
          <w:rFonts w:ascii="Arial" w:hAnsi="Arial"/>
          <w:b/>
          <w:spacing w:val="-15"/>
          <w:sz w:val="25"/>
        </w:rPr>
        <w:t xml:space="preserve"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-15"/>
          <w:sz w:val="25"/>
        </w:rPr>
        <w:t xml:space="preserve"> </w:t>
      </w:r>
      <w:r>
        <w:rPr>
          <w:rFonts w:ascii="Arial" w:hAnsi="Arial"/>
          <w:b/>
          <w:sz w:val="25"/>
        </w:rPr>
        <w:t>hecho</w:t>
      </w:r>
      <w:r>
        <w:rPr>
          <w:sz w:val="25"/>
        </w:rPr>
        <w:t>.</w:t>
      </w:r>
      <w:r>
        <w:rPr>
          <w:spacing w:val="-15"/>
          <w:sz w:val="25"/>
        </w:rPr>
        <w:t xml:space="preserve"> </w:t>
      </w:r>
      <w:r>
        <w:rPr>
          <w:sz w:val="25"/>
          <w:u w:val="single"/>
        </w:rPr>
        <w:t>Los</w:t>
      </w:r>
      <w:r>
        <w:rPr>
          <w:spacing w:val="-13"/>
          <w:sz w:val="25"/>
          <w:u w:val="single"/>
        </w:rPr>
        <w:t xml:space="preserve"> </w:t>
      </w:r>
      <w:r>
        <w:rPr>
          <w:sz w:val="25"/>
          <w:u w:val="single"/>
        </w:rPr>
        <w:t>derechos</w:t>
      </w:r>
      <w:r>
        <w:rPr>
          <w:spacing w:val="-13"/>
          <w:sz w:val="25"/>
          <w:u w:val="single"/>
        </w:rPr>
        <w:t xml:space="preserve"> </w:t>
      </w:r>
      <w:r>
        <w:rPr>
          <w:sz w:val="25"/>
          <w:u w:val="single"/>
        </w:rPr>
        <w:t>de</w:t>
      </w:r>
      <w:r>
        <w:rPr>
          <w:spacing w:val="-15"/>
          <w:sz w:val="25"/>
          <w:u w:val="single"/>
        </w:rPr>
        <w:t xml:space="preserve"> </w:t>
      </w:r>
      <w:r>
        <w:rPr>
          <w:sz w:val="25"/>
          <w:u w:val="single"/>
        </w:rPr>
        <w:t>las</w:t>
      </w:r>
      <w:r>
        <w:rPr>
          <w:sz w:val="25"/>
        </w:rPr>
        <w:t xml:space="preserve"> </w:t>
      </w:r>
      <w:r>
        <w:rPr>
          <w:sz w:val="25"/>
          <w:u w:val="single"/>
        </w:rPr>
        <w:t>parejas de hecho se equipararán a los de los matrimonios en</w:t>
      </w:r>
      <w:r>
        <w:rPr>
          <w:sz w:val="25"/>
        </w:rPr>
        <w:t xml:space="preserve"> varios puntos:</w:t>
      </w:r>
    </w:p>
    <w:p w:rsidR="00BE3BDC" w:rsidRDefault="00494A78">
      <w:pPr>
        <w:pStyle w:val="Prrafodelista"/>
        <w:numPr>
          <w:ilvl w:val="0"/>
          <w:numId w:val="1"/>
        </w:numPr>
        <w:tabs>
          <w:tab w:val="left" w:pos="812"/>
          <w:tab w:val="left" w:pos="814"/>
        </w:tabs>
        <w:spacing w:before="275" w:line="360" w:lineRule="auto"/>
        <w:ind w:right="121"/>
        <w:jc w:val="left"/>
        <w:rPr>
          <w:sz w:val="24"/>
        </w:rPr>
      </w:pPr>
      <w:r>
        <w:rPr>
          <w:sz w:val="24"/>
        </w:rPr>
        <w:t>Tendrán derecho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z w:val="24"/>
          <w:u w:val="single"/>
        </w:rPr>
        <w:t>pensión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 viudedad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(similar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 la del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matrimonio)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al</w:t>
      </w:r>
      <w:r>
        <w:rPr>
          <w:sz w:val="24"/>
        </w:rPr>
        <w:t xml:space="preserve"> </w:t>
      </w:r>
      <w:r>
        <w:rPr>
          <w:sz w:val="24"/>
          <w:u w:val="single"/>
        </w:rPr>
        <w:t>complemento a mínimos de las pensiones</w:t>
      </w:r>
      <w:r>
        <w:rPr>
          <w:sz w:val="24"/>
        </w:rPr>
        <w:t>.</w:t>
      </w:r>
    </w:p>
    <w:p w:rsidR="00BE3BDC" w:rsidRDefault="00494A78">
      <w:pPr>
        <w:pStyle w:val="Prrafodelista"/>
        <w:numPr>
          <w:ilvl w:val="0"/>
          <w:numId w:val="1"/>
        </w:numPr>
        <w:tabs>
          <w:tab w:val="left" w:pos="812"/>
          <w:tab w:val="left" w:pos="814"/>
        </w:tabs>
        <w:spacing w:line="360" w:lineRule="auto"/>
        <w:ind w:right="125"/>
        <w:jc w:val="left"/>
        <w:rPr>
          <w:sz w:val="24"/>
        </w:rPr>
      </w:pPr>
      <w:r>
        <w:rPr>
          <w:sz w:val="24"/>
        </w:rPr>
        <w:t>Podrán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>acceder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al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Fondo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Garantía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Pago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Alimentos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para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los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hijos</w:t>
      </w:r>
      <w:r>
        <w:rPr>
          <w:sz w:val="24"/>
        </w:rPr>
        <w:t xml:space="preserve"> </w:t>
      </w:r>
      <w:r>
        <w:rPr>
          <w:sz w:val="24"/>
          <w:u w:val="single"/>
        </w:rPr>
        <w:t>e hijas a cargo en caso de disolución de la pareja</w:t>
      </w:r>
      <w:r>
        <w:rPr>
          <w:sz w:val="24"/>
        </w:rPr>
        <w:t>.</w:t>
      </w:r>
    </w:p>
    <w:p w:rsidR="00BE3BDC" w:rsidRDefault="00494A78">
      <w:pPr>
        <w:pStyle w:val="Prrafodelista"/>
        <w:numPr>
          <w:ilvl w:val="0"/>
          <w:numId w:val="1"/>
        </w:numPr>
        <w:tabs>
          <w:tab w:val="left" w:pos="812"/>
          <w:tab w:val="left" w:pos="814"/>
        </w:tabs>
        <w:spacing w:line="360" w:lineRule="auto"/>
        <w:ind w:right="118"/>
        <w:jc w:val="left"/>
        <w:rPr>
          <w:sz w:val="24"/>
        </w:rPr>
      </w:pPr>
      <w:r>
        <w:rPr>
          <w:sz w:val="24"/>
        </w:rPr>
        <w:t xml:space="preserve">Se creará un </w:t>
      </w:r>
      <w:r>
        <w:rPr>
          <w:sz w:val="24"/>
          <w:u w:val="single"/>
        </w:rPr>
        <w:t>Registro Estatal de Parejas de Hecho centralizado</w:t>
      </w:r>
      <w:r>
        <w:rPr>
          <w:sz w:val="24"/>
        </w:rPr>
        <w:t xml:space="preserve"> para las parejas registradas a nivel autonómico.</w:t>
      </w:r>
    </w:p>
    <w:p w:rsidR="00BE3BDC" w:rsidRDefault="00BE3BDC">
      <w:pPr>
        <w:pStyle w:val="Textoindependiente"/>
        <w:spacing w:before="180"/>
        <w:rPr>
          <w:sz w:val="24"/>
        </w:rPr>
      </w:pPr>
    </w:p>
    <w:p w:rsidR="00BE3BDC" w:rsidRDefault="00494A78">
      <w:pPr>
        <w:pStyle w:val="Prrafodelista"/>
        <w:numPr>
          <w:ilvl w:val="1"/>
          <w:numId w:val="1"/>
        </w:numPr>
        <w:tabs>
          <w:tab w:val="left" w:pos="1542"/>
        </w:tabs>
        <w:spacing w:before="1" w:line="321" w:lineRule="auto"/>
        <w:rPr>
          <w:sz w:val="25"/>
        </w:rPr>
      </w:pPr>
      <w:r>
        <w:rPr>
          <w:rFonts w:ascii="Arial" w:hAnsi="Arial"/>
          <w:b/>
          <w:color w:val="1D1D1B"/>
          <w:sz w:val="25"/>
        </w:rPr>
        <w:t>Fondo de Garantía de Alimentos</w:t>
      </w:r>
      <w:r>
        <w:rPr>
          <w:color w:val="1D1D1B"/>
          <w:sz w:val="25"/>
        </w:rPr>
        <w:t xml:space="preserve">: Se </w:t>
      </w:r>
      <w:r>
        <w:rPr>
          <w:color w:val="1D1D1B"/>
          <w:sz w:val="25"/>
          <w:u w:val="single" w:color="1D1D1B"/>
        </w:rPr>
        <w:t>ampliará e</w:t>
      </w:r>
      <w:r>
        <w:rPr>
          <w:color w:val="1D1D1B"/>
          <w:sz w:val="25"/>
          <w:u w:val="single" w:color="1D1D1B"/>
        </w:rPr>
        <w:t>l umbral de</w:t>
      </w:r>
      <w:r>
        <w:rPr>
          <w:color w:val="1D1D1B"/>
          <w:sz w:val="25"/>
        </w:rPr>
        <w:t xml:space="preserve"> </w:t>
      </w:r>
      <w:r>
        <w:rPr>
          <w:color w:val="1D1D1B"/>
          <w:sz w:val="25"/>
          <w:u w:val="single" w:color="1D1D1B"/>
        </w:rPr>
        <w:t>acceso</w:t>
      </w:r>
      <w:r>
        <w:rPr>
          <w:color w:val="1D1D1B"/>
          <w:spacing w:val="-12"/>
          <w:sz w:val="25"/>
          <w:u w:val="single" w:color="1D1D1B"/>
        </w:rPr>
        <w:t xml:space="preserve"> </w:t>
      </w:r>
      <w:r>
        <w:rPr>
          <w:color w:val="1D1D1B"/>
          <w:sz w:val="25"/>
          <w:u w:val="single" w:color="1D1D1B"/>
        </w:rPr>
        <w:t>al</w:t>
      </w:r>
      <w:r>
        <w:rPr>
          <w:color w:val="1D1D1B"/>
          <w:spacing w:val="-12"/>
          <w:sz w:val="25"/>
          <w:u w:val="single" w:color="1D1D1B"/>
        </w:rPr>
        <w:t xml:space="preserve"> </w:t>
      </w:r>
      <w:r>
        <w:rPr>
          <w:color w:val="1D1D1B"/>
          <w:sz w:val="25"/>
          <w:u w:val="single" w:color="1D1D1B"/>
        </w:rPr>
        <w:t>Fondo</w:t>
      </w:r>
      <w:r>
        <w:rPr>
          <w:color w:val="1D1D1B"/>
          <w:spacing w:val="-12"/>
          <w:sz w:val="25"/>
          <w:u w:val="single" w:color="1D1D1B"/>
        </w:rPr>
        <w:t xml:space="preserve"> </w:t>
      </w:r>
      <w:r>
        <w:rPr>
          <w:color w:val="1D1D1B"/>
          <w:sz w:val="25"/>
          <w:u w:val="single" w:color="1D1D1B"/>
        </w:rPr>
        <w:t>de</w:t>
      </w:r>
      <w:r>
        <w:rPr>
          <w:color w:val="1D1D1B"/>
          <w:spacing w:val="-12"/>
          <w:sz w:val="25"/>
          <w:u w:val="single" w:color="1D1D1B"/>
        </w:rPr>
        <w:t xml:space="preserve"> </w:t>
      </w:r>
      <w:r>
        <w:rPr>
          <w:color w:val="1D1D1B"/>
          <w:sz w:val="25"/>
          <w:u w:val="single" w:color="1D1D1B"/>
        </w:rPr>
        <w:t>Garantía</w:t>
      </w:r>
      <w:r>
        <w:rPr>
          <w:color w:val="1D1D1B"/>
          <w:spacing w:val="-12"/>
          <w:sz w:val="25"/>
          <w:u w:val="single" w:color="1D1D1B"/>
        </w:rPr>
        <w:t xml:space="preserve"> </w:t>
      </w:r>
      <w:r>
        <w:rPr>
          <w:color w:val="1D1D1B"/>
          <w:sz w:val="25"/>
          <w:u w:val="single" w:color="1D1D1B"/>
        </w:rPr>
        <w:t>de</w:t>
      </w:r>
      <w:r>
        <w:rPr>
          <w:color w:val="1D1D1B"/>
          <w:spacing w:val="-12"/>
          <w:sz w:val="25"/>
          <w:u w:val="single" w:color="1D1D1B"/>
        </w:rPr>
        <w:t xml:space="preserve"> </w:t>
      </w:r>
      <w:r>
        <w:rPr>
          <w:color w:val="1D1D1B"/>
          <w:sz w:val="25"/>
          <w:u w:val="single" w:color="1D1D1B"/>
        </w:rPr>
        <w:t>Pago</w:t>
      </w:r>
      <w:r>
        <w:rPr>
          <w:color w:val="1D1D1B"/>
          <w:spacing w:val="-12"/>
          <w:sz w:val="25"/>
          <w:u w:val="single" w:color="1D1D1B"/>
        </w:rPr>
        <w:t xml:space="preserve"> </w:t>
      </w:r>
      <w:r>
        <w:rPr>
          <w:color w:val="1D1D1B"/>
          <w:sz w:val="25"/>
          <w:u w:val="single" w:color="1D1D1B"/>
        </w:rPr>
        <w:t>de</w:t>
      </w:r>
      <w:r>
        <w:rPr>
          <w:color w:val="1D1D1B"/>
          <w:spacing w:val="-9"/>
          <w:sz w:val="25"/>
          <w:u w:val="single" w:color="1D1D1B"/>
        </w:rPr>
        <w:t xml:space="preserve"> </w:t>
      </w:r>
      <w:r>
        <w:rPr>
          <w:color w:val="1D1D1B"/>
          <w:sz w:val="25"/>
          <w:u w:val="single" w:color="1D1D1B"/>
        </w:rPr>
        <w:t>Alimentos,</w:t>
      </w:r>
      <w:r>
        <w:rPr>
          <w:color w:val="1D1D1B"/>
          <w:spacing w:val="-12"/>
          <w:sz w:val="25"/>
          <w:u w:val="single" w:color="1D1D1B"/>
        </w:rPr>
        <w:t xml:space="preserve"> </w:t>
      </w:r>
      <w:r>
        <w:rPr>
          <w:color w:val="1D1D1B"/>
          <w:sz w:val="25"/>
          <w:u w:val="single" w:color="1D1D1B"/>
        </w:rPr>
        <w:t>así</w:t>
      </w:r>
      <w:r>
        <w:rPr>
          <w:color w:val="1D1D1B"/>
          <w:spacing w:val="-11"/>
          <w:sz w:val="25"/>
          <w:u w:val="single" w:color="1D1D1B"/>
        </w:rPr>
        <w:t xml:space="preserve"> </w:t>
      </w:r>
      <w:r>
        <w:rPr>
          <w:color w:val="1D1D1B"/>
          <w:sz w:val="25"/>
          <w:u w:val="single" w:color="1D1D1B"/>
        </w:rPr>
        <w:t>como</w:t>
      </w:r>
      <w:r>
        <w:rPr>
          <w:color w:val="1D1D1B"/>
          <w:spacing w:val="-12"/>
          <w:sz w:val="25"/>
          <w:u w:val="single" w:color="1D1D1B"/>
        </w:rPr>
        <w:t xml:space="preserve"> </w:t>
      </w:r>
      <w:r>
        <w:rPr>
          <w:color w:val="1D1D1B"/>
          <w:sz w:val="25"/>
          <w:u w:val="single" w:color="1D1D1B"/>
        </w:rPr>
        <w:t>la</w:t>
      </w:r>
      <w:r>
        <w:rPr>
          <w:color w:val="1D1D1B"/>
          <w:sz w:val="25"/>
        </w:rPr>
        <w:t xml:space="preserve"> </w:t>
      </w:r>
      <w:r>
        <w:rPr>
          <w:color w:val="1D1D1B"/>
          <w:sz w:val="25"/>
          <w:u w:val="single" w:color="1D1D1B"/>
        </w:rPr>
        <w:t>cuantía</w:t>
      </w:r>
      <w:r>
        <w:rPr>
          <w:color w:val="1D1D1B"/>
          <w:sz w:val="25"/>
        </w:rPr>
        <w:t>, que podrá alcanzar los 500 euros mensuales (frente a los 100 actuales).</w:t>
      </w:r>
    </w:p>
    <w:p w:rsidR="00BE3BDC" w:rsidRDefault="00BE3BDC">
      <w:pPr>
        <w:pStyle w:val="Textoindependiente"/>
        <w:spacing w:before="67"/>
      </w:pPr>
    </w:p>
    <w:p w:rsidR="00BE3BDC" w:rsidRDefault="00494A78">
      <w:pPr>
        <w:pStyle w:val="Textoindependiente"/>
        <w:spacing w:before="1" w:line="321" w:lineRule="auto"/>
        <w:ind w:left="1181" w:right="115"/>
        <w:jc w:val="both"/>
      </w:pPr>
      <w:r>
        <w:rPr>
          <w:color w:val="1D1D1B"/>
        </w:rPr>
        <w:t xml:space="preserve">La Ley se remite tras su aprobación por el Consejo de Ministros al Congreso donde se iniciará su </w:t>
      </w:r>
      <w:r>
        <w:rPr>
          <w:rFonts w:ascii="Arial" w:hAnsi="Arial"/>
          <w:b/>
          <w:color w:val="1D1D1B"/>
        </w:rPr>
        <w:t>trámite parlamentario por el procedimiento de urgencias</w:t>
      </w:r>
      <w:r>
        <w:rPr>
          <w:color w:val="1D1D1B"/>
        </w:rPr>
        <w:t xml:space="preserve">, que posibilitará la </w:t>
      </w:r>
      <w:r>
        <w:rPr>
          <w:color w:val="1D1D1B"/>
          <w:u w:val="single" w:color="1D1D1B"/>
        </w:rPr>
        <w:t>incorporación de</w:t>
      </w:r>
      <w:r>
        <w:rPr>
          <w:color w:val="1D1D1B"/>
        </w:rPr>
        <w:t xml:space="preserve"> </w:t>
      </w:r>
      <w:r>
        <w:rPr>
          <w:color w:val="1D1D1B"/>
          <w:u w:val="single" w:color="1D1D1B"/>
        </w:rPr>
        <w:t>enmiendas al texto del Proyecto</w:t>
      </w:r>
      <w:r>
        <w:rPr>
          <w:color w:val="1D1D1B"/>
        </w:rPr>
        <w:t xml:space="preserve"> y garantizará la aprobación de un proyecto de Ley que ya fue remitido en la anterior legislatura pero que no culminó su aprobación</w:t>
      </w:r>
      <w:r>
        <w:rPr>
          <w:color w:val="1D1D1B"/>
        </w:rPr>
        <w:t>.</w:t>
      </w:r>
    </w:p>
    <w:sectPr w:rsidR="00BE3BDC" w:rsidSect="00BE3BDC">
      <w:pgSz w:w="11910" w:h="16840"/>
      <w:pgMar w:top="1660" w:right="1580" w:bottom="1620" w:left="1600" w:header="578" w:footer="14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A78" w:rsidRDefault="00494A78" w:rsidP="00BE3BDC">
      <w:r>
        <w:separator/>
      </w:r>
    </w:p>
  </w:endnote>
  <w:endnote w:type="continuationSeparator" w:id="0">
    <w:p w:rsidR="00494A78" w:rsidRDefault="00494A78" w:rsidP="00BE3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BB" w:rsidRDefault="00BA6FB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DC" w:rsidRDefault="00BE3BDC">
    <w:pPr>
      <w:pStyle w:val="Textoindependiente"/>
      <w:spacing w:line="14" w:lineRule="auto"/>
      <w:rPr>
        <w:sz w:val="20"/>
      </w:rPr>
    </w:pPr>
  </w:p>
  <w:p w:rsidR="00BA6FBB" w:rsidRDefault="00BA6FB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BB" w:rsidRDefault="00BA6FB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A78" w:rsidRDefault="00494A78" w:rsidP="00BE3BDC">
      <w:r>
        <w:separator/>
      </w:r>
    </w:p>
  </w:footnote>
  <w:footnote w:type="continuationSeparator" w:id="0">
    <w:p w:rsidR="00494A78" w:rsidRDefault="00494A78" w:rsidP="00BE3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BB" w:rsidRDefault="00BA6FB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DC" w:rsidRDefault="00BE3BDC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BB" w:rsidRDefault="00BA6FB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7BD"/>
    <w:multiLevelType w:val="hybridMultilevel"/>
    <w:tmpl w:val="27B492D0"/>
    <w:lvl w:ilvl="0" w:tplc="D7322EA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528061E">
      <w:numFmt w:val="bullet"/>
      <w:lvlText w:val="•"/>
      <w:lvlJc w:val="left"/>
      <w:pPr>
        <w:ind w:left="2258" w:hanging="360"/>
      </w:pPr>
      <w:rPr>
        <w:rFonts w:hint="default"/>
        <w:lang w:val="es-ES" w:eastAsia="en-US" w:bidi="ar-SA"/>
      </w:rPr>
    </w:lvl>
    <w:lvl w:ilvl="2" w:tplc="072A10E2">
      <w:numFmt w:val="bullet"/>
      <w:lvlText w:val="•"/>
      <w:lvlJc w:val="left"/>
      <w:pPr>
        <w:ind w:left="2977" w:hanging="360"/>
      </w:pPr>
      <w:rPr>
        <w:rFonts w:hint="default"/>
        <w:lang w:val="es-ES" w:eastAsia="en-US" w:bidi="ar-SA"/>
      </w:rPr>
    </w:lvl>
    <w:lvl w:ilvl="3" w:tplc="147073FC">
      <w:numFmt w:val="bullet"/>
      <w:lvlText w:val="•"/>
      <w:lvlJc w:val="left"/>
      <w:pPr>
        <w:ind w:left="3695" w:hanging="360"/>
      </w:pPr>
      <w:rPr>
        <w:rFonts w:hint="default"/>
        <w:lang w:val="es-ES" w:eastAsia="en-US" w:bidi="ar-SA"/>
      </w:rPr>
    </w:lvl>
    <w:lvl w:ilvl="4" w:tplc="0B946F5C">
      <w:numFmt w:val="bullet"/>
      <w:lvlText w:val="•"/>
      <w:lvlJc w:val="left"/>
      <w:pPr>
        <w:ind w:left="4414" w:hanging="360"/>
      </w:pPr>
      <w:rPr>
        <w:rFonts w:hint="default"/>
        <w:lang w:val="es-ES" w:eastAsia="en-US" w:bidi="ar-SA"/>
      </w:rPr>
    </w:lvl>
    <w:lvl w:ilvl="5" w:tplc="9B7EC538">
      <w:numFmt w:val="bullet"/>
      <w:lvlText w:val="•"/>
      <w:lvlJc w:val="left"/>
      <w:pPr>
        <w:ind w:left="5133" w:hanging="360"/>
      </w:pPr>
      <w:rPr>
        <w:rFonts w:hint="default"/>
        <w:lang w:val="es-ES" w:eastAsia="en-US" w:bidi="ar-SA"/>
      </w:rPr>
    </w:lvl>
    <w:lvl w:ilvl="6" w:tplc="73E213E2">
      <w:numFmt w:val="bullet"/>
      <w:lvlText w:val="•"/>
      <w:lvlJc w:val="left"/>
      <w:pPr>
        <w:ind w:left="5851" w:hanging="360"/>
      </w:pPr>
      <w:rPr>
        <w:rFonts w:hint="default"/>
        <w:lang w:val="es-ES" w:eastAsia="en-US" w:bidi="ar-SA"/>
      </w:rPr>
    </w:lvl>
    <w:lvl w:ilvl="7" w:tplc="40F432AE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8" w:tplc="A81CADD4">
      <w:numFmt w:val="bullet"/>
      <w:lvlText w:val="•"/>
      <w:lvlJc w:val="left"/>
      <w:pPr>
        <w:ind w:left="7289" w:hanging="360"/>
      </w:pPr>
      <w:rPr>
        <w:rFonts w:hint="default"/>
        <w:lang w:val="es-ES" w:eastAsia="en-US" w:bidi="ar-SA"/>
      </w:rPr>
    </w:lvl>
  </w:abstractNum>
  <w:abstractNum w:abstractNumId="1">
    <w:nsid w:val="75BC6DF3"/>
    <w:multiLevelType w:val="hybridMultilevel"/>
    <w:tmpl w:val="683E73C2"/>
    <w:lvl w:ilvl="0" w:tplc="357C3592">
      <w:numFmt w:val="bullet"/>
      <w:lvlText w:val=""/>
      <w:lvlJc w:val="left"/>
      <w:pPr>
        <w:ind w:left="81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3BAB9A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D1D1B"/>
        <w:spacing w:val="0"/>
        <w:w w:val="99"/>
        <w:sz w:val="20"/>
        <w:szCs w:val="20"/>
        <w:lang w:val="es-ES" w:eastAsia="en-US" w:bidi="ar-SA"/>
      </w:rPr>
    </w:lvl>
    <w:lvl w:ilvl="2" w:tplc="A0C4051E">
      <w:numFmt w:val="bullet"/>
      <w:lvlText w:val="•"/>
      <w:lvlJc w:val="left"/>
      <w:pPr>
        <w:ind w:left="2338" w:hanging="360"/>
      </w:pPr>
      <w:rPr>
        <w:rFonts w:hint="default"/>
        <w:lang w:val="es-ES" w:eastAsia="en-US" w:bidi="ar-SA"/>
      </w:rPr>
    </w:lvl>
    <w:lvl w:ilvl="3" w:tplc="9D3E0234">
      <w:numFmt w:val="bullet"/>
      <w:lvlText w:val="•"/>
      <w:lvlJc w:val="left"/>
      <w:pPr>
        <w:ind w:left="3136" w:hanging="360"/>
      </w:pPr>
      <w:rPr>
        <w:rFonts w:hint="default"/>
        <w:lang w:val="es-ES" w:eastAsia="en-US" w:bidi="ar-SA"/>
      </w:rPr>
    </w:lvl>
    <w:lvl w:ilvl="4" w:tplc="030E6B8C">
      <w:numFmt w:val="bullet"/>
      <w:lvlText w:val="•"/>
      <w:lvlJc w:val="left"/>
      <w:pPr>
        <w:ind w:left="3935" w:hanging="360"/>
      </w:pPr>
      <w:rPr>
        <w:rFonts w:hint="default"/>
        <w:lang w:val="es-ES" w:eastAsia="en-US" w:bidi="ar-SA"/>
      </w:rPr>
    </w:lvl>
    <w:lvl w:ilvl="5" w:tplc="6910E6EE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BB903ADE"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7" w:tplc="ACB2B71E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8" w:tplc="AEFEDA58">
      <w:numFmt w:val="bullet"/>
      <w:lvlText w:val="•"/>
      <w:lvlJc w:val="left"/>
      <w:pPr>
        <w:ind w:left="712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E3BDC"/>
    <w:rsid w:val="00494A78"/>
    <w:rsid w:val="00BA6FBB"/>
    <w:rsid w:val="00BE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3BDC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E3BDC"/>
    <w:rPr>
      <w:sz w:val="25"/>
      <w:szCs w:val="25"/>
    </w:rPr>
  </w:style>
  <w:style w:type="paragraph" w:styleId="Ttulo">
    <w:name w:val="Title"/>
    <w:basedOn w:val="Normal"/>
    <w:uiPriority w:val="1"/>
    <w:qFormat/>
    <w:rsid w:val="00BE3BDC"/>
    <w:pPr>
      <w:spacing w:before="77"/>
      <w:ind w:left="102"/>
      <w:jc w:val="both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  <w:rsid w:val="00BE3BDC"/>
    <w:pPr>
      <w:ind w:left="1542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E3BDC"/>
  </w:style>
  <w:style w:type="paragraph" w:styleId="Encabezado">
    <w:name w:val="header"/>
    <w:basedOn w:val="Normal"/>
    <w:link w:val="EncabezadoCar"/>
    <w:uiPriority w:val="99"/>
    <w:semiHidden/>
    <w:unhideWhenUsed/>
    <w:rsid w:val="00BA6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6FB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A6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6FB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3740</Characters>
  <Application>Microsoft Office Word</Application>
  <DocSecurity>0</DocSecurity>
  <Lines>31</Lines>
  <Paragraphs>8</Paragraphs>
  <ScaleCrop>false</ScaleCrop>
  <Company>Windows XP Titan Ultimate Edition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Fernandez</dc:creator>
  <cp:lastModifiedBy>Usuario</cp:lastModifiedBy>
  <cp:revision>3</cp:revision>
  <dcterms:created xsi:type="dcterms:W3CDTF">2024-05-23T14:17:00Z</dcterms:created>
  <dcterms:modified xsi:type="dcterms:W3CDTF">2024-05-23T14:18:00Z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para Microsoft 365</vt:lpwstr>
  </property>
</Properties>
</file>